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3EBA" w:rsidRPr="00D74253" w:rsidRDefault="001F79D4" w:rsidP="00923EBA">
      <w:pPr>
        <w:jc w:val="both"/>
        <w:rPr>
          <w:rFonts w:ascii="Rockwell" w:hAnsi="Rockwell"/>
          <w:sz w:val="24"/>
          <w:szCs w:val="24"/>
        </w:rPr>
      </w:pPr>
      <w:r w:rsidRPr="00D74253">
        <w:rPr>
          <w:rFonts w:ascii="Rockwell" w:hAnsi="Rockwel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136525</wp:posOffset>
                </wp:positionV>
                <wp:extent cx="5056505" cy="756920"/>
                <wp:effectExtent l="0" t="0" r="10795" b="247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BA" w:rsidRPr="00D74253" w:rsidRDefault="00D74253" w:rsidP="00D74253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74253">
                              <w:rPr>
                                <w:rFonts w:ascii="Rockwell" w:hAnsi="Rockwell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Union Régionale FO/DEFENSE</w:t>
                            </w:r>
                          </w:p>
                          <w:p w:rsidR="00D74253" w:rsidRPr="00D74253" w:rsidRDefault="00D74253" w:rsidP="00D74253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74253">
                              <w:rPr>
                                <w:rFonts w:ascii="Rockwell" w:hAnsi="Rockwell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BdD</w:t>
                            </w:r>
                            <w:proofErr w:type="spellEnd"/>
                            <w:r w:rsidRPr="00D74253">
                              <w:rPr>
                                <w:rFonts w:ascii="Rockwell" w:hAnsi="Rockwell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 Toulon et Secteurs Assimilés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6.1pt;margin-top:10.75pt;width:398.15pt;height:59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" strokecolor="white">
                <v:textbox style="mso-fit-shape-to-text:t">
                  <w:txbxContent>
                    <w:p w:rsidR="00923EBA" w:rsidRPr="00D74253" w:rsidRDefault="00D74253" w:rsidP="00D74253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D74253">
                        <w:rPr>
                          <w:rFonts w:ascii="Rockwell" w:hAnsi="Rockwell"/>
                          <w:b/>
                          <w:i/>
                          <w:color w:val="FF0000"/>
                          <w:sz w:val="44"/>
                          <w:szCs w:val="44"/>
                        </w:rPr>
                        <w:t>Union Régionale FO/DEFENSE</w:t>
                      </w:r>
                    </w:p>
                    <w:p w:rsidR="00D74253" w:rsidRPr="00D74253" w:rsidRDefault="00D74253" w:rsidP="00D74253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D74253">
                        <w:rPr>
                          <w:rFonts w:ascii="Rockwell" w:hAnsi="Rockwell"/>
                          <w:b/>
                          <w:i/>
                          <w:color w:val="FF0000"/>
                          <w:sz w:val="44"/>
                          <w:szCs w:val="44"/>
                        </w:rPr>
                        <w:t>BdD Toulon et Secteurs Assimilés</w:t>
                      </w:r>
                    </w:p>
                  </w:txbxContent>
                </v:textbox>
              </v:shape>
            </w:pict>
          </mc:Fallback>
        </mc:AlternateContent>
      </w:r>
      <w:r w:rsidRPr="00D74253">
        <w:rPr>
          <w:rFonts w:ascii="Rockwell" w:hAnsi="Rockwell"/>
          <w:noProof/>
          <w:sz w:val="24"/>
          <w:szCs w:val="24"/>
          <w:lang w:eastAsia="fr-FR"/>
        </w:rPr>
        <w:drawing>
          <wp:inline distT="0" distB="0" distL="0" distR="0">
            <wp:extent cx="958215" cy="1057275"/>
            <wp:effectExtent l="0" t="0" r="0" b="0"/>
            <wp:docPr id="3" name="Image 3" descr="F:\Images Port\FO DEF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 Port\FO DEF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80" w:rsidRPr="00D74253" w:rsidRDefault="001B7C80" w:rsidP="00AB390B">
      <w:pPr>
        <w:spacing w:after="0" w:line="240" w:lineRule="auto"/>
        <w:jc w:val="right"/>
        <w:rPr>
          <w:rFonts w:ascii="Rockwell" w:hAnsi="Rockwell"/>
          <w:sz w:val="24"/>
          <w:szCs w:val="24"/>
        </w:rPr>
      </w:pPr>
    </w:p>
    <w:p w:rsidR="00D74253" w:rsidRPr="00413FD5" w:rsidRDefault="00D74253" w:rsidP="00D74253">
      <w:pPr>
        <w:spacing w:after="0" w:line="240" w:lineRule="auto"/>
        <w:jc w:val="center"/>
        <w:rPr>
          <w:rFonts w:ascii="Rockwell" w:hAnsi="Rockwell" w:cs="Times New Roman"/>
          <w:color w:val="0070C0"/>
          <w:sz w:val="48"/>
          <w:szCs w:val="48"/>
        </w:rPr>
      </w:pPr>
      <w:r w:rsidRPr="00413FD5">
        <w:rPr>
          <w:rFonts w:ascii="Rockwell" w:hAnsi="Rockwell" w:cs="Times New Roman"/>
          <w:b/>
          <w:color w:val="0070C0"/>
          <w:sz w:val="48"/>
          <w:szCs w:val="48"/>
        </w:rPr>
        <w:t>Déclaration Liminaire</w:t>
      </w:r>
    </w:p>
    <w:p w:rsidR="007A406E" w:rsidRPr="00413FD5" w:rsidRDefault="007A406E" w:rsidP="007A406E">
      <w:pPr>
        <w:pStyle w:val="Corps"/>
        <w:rPr>
          <w:rFonts w:ascii="Rockwell" w:hAnsi="Rockwell"/>
          <w:color w:val="0070C0"/>
          <w:sz w:val="28"/>
          <w:szCs w:val="28"/>
        </w:rPr>
      </w:pPr>
    </w:p>
    <w:p w:rsidR="007A406E" w:rsidRPr="00413FD5" w:rsidRDefault="007A406E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413FD5">
        <w:rPr>
          <w:rFonts w:ascii="Rockwell" w:hAnsi="Rockwell" w:cs="Times New Roman"/>
          <w:color w:val="0070C0"/>
          <w:sz w:val="28"/>
          <w:szCs w:val="28"/>
        </w:rPr>
        <w:t>Le gouvernement et le ministre de la santé ne tarissent pas d’éloge</w:t>
      </w:r>
      <w:r w:rsidR="009B0202" w:rsidRPr="00413FD5">
        <w:rPr>
          <w:rFonts w:ascii="Rockwell" w:hAnsi="Rockwell" w:cs="Times New Roman"/>
          <w:color w:val="0070C0"/>
          <w:sz w:val="28"/>
          <w:szCs w:val="28"/>
        </w:rPr>
        <w:t>s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envers les personnels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>,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qu’ils soient de la santé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>,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 xml:space="preserve">ou ceux et  celles </w:t>
      </w:r>
      <w:r w:rsidRPr="00413FD5">
        <w:rPr>
          <w:rFonts w:ascii="Rockwell" w:hAnsi="Rockwell" w:cs="Times New Roman"/>
          <w:color w:val="0070C0"/>
          <w:sz w:val="28"/>
          <w:szCs w:val="28"/>
        </w:rPr>
        <w:t>qui assurent leurs missions pour les besoins de la population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 xml:space="preserve"> au péril de la leur de santé…</w:t>
      </w:r>
    </w:p>
    <w:p w:rsidR="007A406E" w:rsidRPr="00413FD5" w:rsidRDefault="007A406E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</w:p>
    <w:p w:rsidR="007A406E" w:rsidRPr="00413FD5" w:rsidRDefault="00D74253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413FD5">
        <w:rPr>
          <w:rFonts w:ascii="Rockwell" w:hAnsi="Rockwell" w:cs="Times New Roman"/>
          <w:color w:val="0070C0"/>
          <w:sz w:val="28"/>
          <w:szCs w:val="28"/>
        </w:rPr>
        <w:t>Les</w:t>
      </w:r>
      <w:r w:rsidR="007A406E" w:rsidRPr="00413FD5">
        <w:rPr>
          <w:rFonts w:ascii="Rockwell" w:hAnsi="Rockwell" w:cs="Times New Roman"/>
          <w:color w:val="0070C0"/>
          <w:sz w:val="28"/>
          <w:szCs w:val="28"/>
        </w:rPr>
        <w:t xml:space="preserve"> discours ne suffiront pas, et que tout travail méritant salaire, nous ne pouvons qu’intervenir sur les points suivants :</w:t>
      </w:r>
    </w:p>
    <w:p w:rsidR="007A406E" w:rsidRPr="00D74253" w:rsidRDefault="007A406E" w:rsidP="009B0202">
      <w:pPr>
        <w:pStyle w:val="Corps"/>
        <w:jc w:val="both"/>
        <w:rPr>
          <w:rFonts w:ascii="Rockwell" w:hAnsi="Rockwell" w:cs="Times New Roman"/>
          <w:sz w:val="28"/>
          <w:szCs w:val="28"/>
        </w:rPr>
      </w:pPr>
    </w:p>
    <w:p w:rsidR="007A406E" w:rsidRPr="00413FD5" w:rsidRDefault="007A406E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413FD5">
        <w:rPr>
          <w:rFonts w:ascii="Rockwell" w:hAnsi="Rockwell" w:cs="Times New Roman"/>
          <w:color w:val="0070C0"/>
          <w:sz w:val="28"/>
          <w:szCs w:val="28"/>
        </w:rPr>
        <w:t>Le jour de carence pour les personnels de la fonction publique en cas de maladie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 xml:space="preserve"> est seulement suspendu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>, mais il a fallu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 xml:space="preserve"> la mobilisation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</w:t>
      </w:r>
      <w:r w:rsidR="00C0185A" w:rsidRPr="00413FD5">
        <w:rPr>
          <w:rFonts w:ascii="Rockwell" w:hAnsi="Rockwell" w:cs="Times New Roman"/>
          <w:color w:val="0070C0"/>
          <w:sz w:val="28"/>
          <w:szCs w:val="28"/>
        </w:rPr>
        <w:t>de Force-</w:t>
      </w:r>
      <w:r w:rsidRPr="00413FD5">
        <w:rPr>
          <w:rFonts w:ascii="Rockwell" w:hAnsi="Rockwell" w:cs="Times New Roman"/>
          <w:color w:val="0070C0"/>
          <w:sz w:val="28"/>
          <w:szCs w:val="28"/>
        </w:rPr>
        <w:t>Ouvrière et d’autre</w:t>
      </w:r>
      <w:r w:rsidR="00C0185A" w:rsidRPr="00413FD5">
        <w:rPr>
          <w:rFonts w:ascii="Rockwell" w:hAnsi="Rockwell" w:cs="Times New Roman"/>
          <w:color w:val="0070C0"/>
          <w:sz w:val="28"/>
          <w:szCs w:val="28"/>
        </w:rPr>
        <w:t>s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organisations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 xml:space="preserve"> pour y arriver !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>Après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la crise ce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>la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se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 xml:space="preserve"> tradui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ra </w:t>
      </w:r>
      <w:r w:rsidR="00D74253" w:rsidRPr="00413FD5">
        <w:rPr>
          <w:rFonts w:ascii="Rockwell" w:hAnsi="Rockwell" w:cs="Times New Roman"/>
          <w:color w:val="0070C0"/>
          <w:sz w:val="28"/>
          <w:szCs w:val="28"/>
        </w:rPr>
        <w:t>par une perte de salaire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pour tous les personnels œuvrant 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 xml:space="preserve">pour les trois pans de la Fonction Publique 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au premier jour de maladie! Merci les 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>« </w:t>
      </w:r>
      <w:r w:rsidRPr="00413FD5">
        <w:rPr>
          <w:rFonts w:ascii="Rockwell" w:hAnsi="Rockwell" w:cs="Times New Roman"/>
          <w:color w:val="0070C0"/>
          <w:sz w:val="28"/>
          <w:szCs w:val="28"/>
        </w:rPr>
        <w:t>héros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> »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! </w:t>
      </w:r>
    </w:p>
    <w:p w:rsidR="007A406E" w:rsidRPr="00D74253" w:rsidRDefault="007A406E" w:rsidP="009B0202">
      <w:pPr>
        <w:pStyle w:val="Corps"/>
        <w:jc w:val="both"/>
        <w:rPr>
          <w:rFonts w:ascii="Rockwell" w:hAnsi="Rockwell" w:cs="Times New Roman"/>
          <w:sz w:val="28"/>
          <w:szCs w:val="28"/>
        </w:rPr>
      </w:pPr>
    </w:p>
    <w:p w:rsidR="007A406E" w:rsidRPr="00413FD5" w:rsidRDefault="007A406E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Parmi </w:t>
      </w:r>
      <w:r w:rsidR="005F79F4" w:rsidRPr="00413FD5">
        <w:rPr>
          <w:rFonts w:ascii="Rockwell" w:hAnsi="Rockwell" w:cs="Times New Roman"/>
          <w:color w:val="0070C0"/>
          <w:sz w:val="28"/>
          <w:szCs w:val="28"/>
        </w:rPr>
        <w:t>les personnels, beaucoup sont contractuels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. Eux aussi sont en première ligne. Pourtant, ils restent  « licenciables » si leur contrat n’est pas </w:t>
      </w:r>
      <w:r w:rsidR="00C0185A" w:rsidRPr="00413FD5">
        <w:rPr>
          <w:rFonts w:ascii="Rockwell" w:hAnsi="Rockwell" w:cs="Times New Roman"/>
          <w:color w:val="0070C0"/>
          <w:sz w:val="28"/>
          <w:szCs w:val="28"/>
        </w:rPr>
        <w:t>renouvelé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>. De surcroît,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ces personnels travaillent sans avancement et sans prime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 xml:space="preserve"> annuelle de service...A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cette heure, pas un responsable gouvernemental ne propose de titulariser les personnels contractuels en re</w:t>
      </w:r>
      <w:r w:rsidR="005F79F4" w:rsidRPr="00413FD5">
        <w:rPr>
          <w:rFonts w:ascii="Rockwell" w:hAnsi="Rockwell" w:cs="Times New Roman"/>
          <w:color w:val="0070C0"/>
          <w:sz w:val="28"/>
          <w:szCs w:val="28"/>
        </w:rPr>
        <w:t>connaissance de leur engagement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, pas une direction ne nous a fait part de plans élargis de mise en stage ! ... 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>Merci les « héros »!</w:t>
      </w:r>
    </w:p>
    <w:p w:rsidR="007A406E" w:rsidRPr="00D74253" w:rsidRDefault="007A406E" w:rsidP="009B0202">
      <w:pPr>
        <w:pStyle w:val="Corps"/>
        <w:jc w:val="both"/>
        <w:rPr>
          <w:rFonts w:ascii="Rockwell" w:hAnsi="Rockwell" w:cs="Times New Roman"/>
          <w:sz w:val="28"/>
          <w:szCs w:val="28"/>
        </w:rPr>
      </w:pPr>
    </w:p>
    <w:p w:rsidR="009B0202" w:rsidRPr="00413FD5" w:rsidRDefault="009B0202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La réforme des retraite n’est que suspendue. 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>Les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personnels verront leur retraite dégradée, les obligeant à partir  plus tard</w:t>
      </w:r>
      <w:r w:rsidR="00413FD5" w:rsidRPr="00413FD5">
        <w:rPr>
          <w:rFonts w:ascii="Rockwell" w:hAnsi="Rockwell" w:cs="Times New Roman"/>
          <w:color w:val="0070C0"/>
          <w:sz w:val="28"/>
          <w:szCs w:val="28"/>
        </w:rPr>
        <w:t xml:space="preserve"> pour un taux plein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. </w:t>
      </w:r>
    </w:p>
    <w:p w:rsidR="00413FD5" w:rsidRDefault="00413FD5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413FD5">
        <w:rPr>
          <w:rFonts w:ascii="Rockwell" w:hAnsi="Rockwell" w:cs="Times New Roman"/>
          <w:color w:val="0070C0"/>
          <w:sz w:val="28"/>
          <w:szCs w:val="28"/>
        </w:rPr>
        <w:t>Merci les « héros »!</w:t>
      </w:r>
    </w:p>
    <w:p w:rsidR="00413FD5" w:rsidRDefault="00413FD5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</w:p>
    <w:p w:rsidR="00413FD5" w:rsidRPr="00413FD5" w:rsidRDefault="00413FD5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>
        <w:rPr>
          <w:rFonts w:ascii="Rockwell" w:hAnsi="Rockwell" w:cs="Times New Roman"/>
          <w:color w:val="0070C0"/>
          <w:sz w:val="28"/>
          <w:szCs w:val="28"/>
        </w:rPr>
        <w:t>Et les héros du gouvernement, ils font quoi ?</w:t>
      </w:r>
    </w:p>
    <w:p w:rsidR="007A406E" w:rsidRPr="00D74253" w:rsidRDefault="007A406E" w:rsidP="00413FD5">
      <w:pPr>
        <w:pStyle w:val="Corps"/>
        <w:rPr>
          <w:rFonts w:ascii="Rockwell" w:hAnsi="Rockwell" w:cs="Times New Roman"/>
          <w:sz w:val="28"/>
          <w:szCs w:val="28"/>
        </w:rPr>
      </w:pPr>
      <w:r w:rsidRPr="00D74253">
        <w:rPr>
          <w:rFonts w:ascii="Rockwell" w:hAnsi="Rockwell" w:cs="Times New Roman"/>
          <w:sz w:val="28"/>
          <w:szCs w:val="28"/>
        </w:rPr>
        <w:tab/>
      </w:r>
      <w:r w:rsidRPr="00D74253">
        <w:rPr>
          <w:rFonts w:ascii="Rockwell" w:hAnsi="Rockwell" w:cs="Times New Roman"/>
          <w:sz w:val="28"/>
          <w:szCs w:val="28"/>
        </w:rPr>
        <w:tab/>
      </w:r>
      <w:r w:rsidRPr="00D74253">
        <w:rPr>
          <w:rFonts w:ascii="Rockwell" w:hAnsi="Rockwell" w:cs="Times New Roman"/>
          <w:sz w:val="28"/>
          <w:szCs w:val="28"/>
        </w:rPr>
        <w:tab/>
      </w:r>
      <w:r w:rsidRPr="00D74253">
        <w:rPr>
          <w:rFonts w:ascii="Rockwell" w:hAnsi="Rockwell" w:cs="Times New Roman"/>
          <w:sz w:val="28"/>
          <w:szCs w:val="28"/>
        </w:rPr>
        <w:tab/>
      </w:r>
      <w:r w:rsidRPr="00D74253">
        <w:rPr>
          <w:rFonts w:ascii="Rockwell" w:hAnsi="Rockwell" w:cs="Times New Roman"/>
          <w:sz w:val="28"/>
          <w:szCs w:val="28"/>
        </w:rPr>
        <w:tab/>
      </w:r>
    </w:p>
    <w:p w:rsidR="009B0202" w:rsidRPr="00413FD5" w:rsidRDefault="00413FD5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413FD5">
        <w:rPr>
          <w:rFonts w:ascii="Rockwell" w:hAnsi="Rockwell" w:cs="Times New Roman"/>
          <w:color w:val="0070C0"/>
          <w:sz w:val="28"/>
          <w:szCs w:val="28"/>
        </w:rPr>
        <w:t>Des</w:t>
      </w:r>
      <w:r w:rsidR="007A406E" w:rsidRPr="00413FD5">
        <w:rPr>
          <w:rFonts w:ascii="Rockwell" w:hAnsi="Rockwell" w:cs="Times New Roman"/>
          <w:color w:val="0070C0"/>
          <w:sz w:val="28"/>
          <w:szCs w:val="28"/>
        </w:rPr>
        <w:t xml:space="preserve"> circulaires permettant d’allonger les journées de t</w:t>
      </w:r>
      <w:r w:rsidR="009B0202" w:rsidRPr="00413FD5">
        <w:rPr>
          <w:rFonts w:ascii="Rockwell" w:hAnsi="Rockwell" w:cs="Times New Roman"/>
          <w:color w:val="0070C0"/>
          <w:sz w:val="28"/>
          <w:szCs w:val="28"/>
        </w:rPr>
        <w:t>ravail, de reporter les congés,</w:t>
      </w:r>
      <w:r w:rsidR="007A406E" w:rsidRPr="00413FD5">
        <w:rPr>
          <w:rFonts w:ascii="Rockwell" w:hAnsi="Rockwell" w:cs="Times New Roman"/>
          <w:color w:val="0070C0"/>
          <w:sz w:val="28"/>
          <w:szCs w:val="28"/>
        </w:rPr>
        <w:t xml:space="preserve"> </w:t>
      </w:r>
      <w:r w:rsidRPr="00413FD5">
        <w:rPr>
          <w:rFonts w:ascii="Rockwell" w:hAnsi="Rockwell" w:cs="Times New Roman"/>
          <w:color w:val="0070C0"/>
          <w:sz w:val="28"/>
          <w:szCs w:val="28"/>
        </w:rPr>
        <w:t>repos et RTT</w:t>
      </w:r>
      <w:r w:rsidR="009B0202" w:rsidRPr="00413FD5">
        <w:rPr>
          <w:rFonts w:ascii="Rockwell" w:hAnsi="Rockwell" w:cs="Times New Roman"/>
          <w:color w:val="0070C0"/>
          <w:sz w:val="28"/>
          <w:szCs w:val="28"/>
        </w:rPr>
        <w:t>.</w:t>
      </w:r>
    </w:p>
    <w:p w:rsidR="00413FD5" w:rsidRPr="00413FD5" w:rsidRDefault="00413FD5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</w:p>
    <w:p w:rsidR="00413FD5" w:rsidRPr="00413FD5" w:rsidRDefault="00413FD5" w:rsidP="00413FD5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413FD5">
        <w:rPr>
          <w:rFonts w:ascii="Rockwell" w:hAnsi="Rockwell" w:cs="Times New Roman"/>
          <w:color w:val="0070C0"/>
          <w:sz w:val="28"/>
          <w:szCs w:val="28"/>
        </w:rPr>
        <w:t>Ils dissimulent le véritable scandale d’état: à savoir que les stocks de la réserve sanitaire étaient au plus bas au début de la crise et qu</w:t>
      </w:r>
      <w:r w:rsidR="00697A13">
        <w:rPr>
          <w:rFonts w:ascii="Rockwell" w:hAnsi="Rockwell" w:cs="Times New Roman"/>
          <w:color w:val="0070C0"/>
          <w:sz w:val="28"/>
          <w:szCs w:val="28"/>
        </w:rPr>
        <w:t>e nul ministre ne s’en est inquiét</w:t>
      </w:r>
      <w:r w:rsidR="00697A13" w:rsidRPr="00413FD5">
        <w:rPr>
          <w:rFonts w:ascii="Rockwell" w:hAnsi="Rockwell" w:cs="Times New Roman"/>
          <w:color w:val="0070C0"/>
          <w:sz w:val="28"/>
          <w:szCs w:val="28"/>
        </w:rPr>
        <w:t>é</w:t>
      </w:r>
      <w:r w:rsidRPr="00413FD5">
        <w:rPr>
          <w:rFonts w:ascii="Rockwell" w:hAnsi="Rockwell" w:cs="Times New Roman"/>
          <w:color w:val="0070C0"/>
          <w:sz w:val="28"/>
          <w:szCs w:val="28"/>
        </w:rPr>
        <w:t xml:space="preserve"> depuis décembre lorsque l’épidémie a été connue. </w:t>
      </w:r>
      <w:r w:rsidR="00697A13">
        <w:rPr>
          <w:rFonts w:ascii="Rockwell" w:hAnsi="Rockwell" w:cs="Times New Roman"/>
          <w:color w:val="0070C0"/>
          <w:sz w:val="28"/>
          <w:szCs w:val="28"/>
        </w:rPr>
        <w:t xml:space="preserve">Des semaines de perdues qui nous payons cash ! </w:t>
      </w:r>
    </w:p>
    <w:p w:rsidR="00413FD5" w:rsidRPr="001F79D4" w:rsidRDefault="00697A13" w:rsidP="00413FD5">
      <w:pPr>
        <w:pStyle w:val="Corps"/>
        <w:jc w:val="both"/>
        <w:rPr>
          <w:rFonts w:ascii="Rockwell" w:hAnsi="Rockwell" w:cs="Times New Roman"/>
          <w:bCs/>
          <w:color w:val="0070C0"/>
          <w:sz w:val="28"/>
          <w:szCs w:val="28"/>
        </w:rPr>
      </w:pPr>
      <w:r w:rsidRPr="001F79D4">
        <w:rPr>
          <w:rFonts w:ascii="Rockwell" w:hAnsi="Rockwell" w:cs="Times New Roman"/>
          <w:color w:val="0070C0"/>
          <w:sz w:val="28"/>
          <w:szCs w:val="28"/>
        </w:rPr>
        <w:lastRenderedPageBreak/>
        <w:t xml:space="preserve">Le syndicat FO/DEFENSE de la </w:t>
      </w:r>
      <w:proofErr w:type="spellStart"/>
      <w:r w:rsidRPr="001F79D4">
        <w:rPr>
          <w:rFonts w:ascii="Rockwell" w:hAnsi="Rockwell" w:cs="Times New Roman"/>
          <w:color w:val="0070C0"/>
          <w:sz w:val="28"/>
          <w:szCs w:val="28"/>
        </w:rPr>
        <w:t>BdD</w:t>
      </w:r>
      <w:proofErr w:type="spellEnd"/>
      <w:r w:rsidRPr="001F79D4">
        <w:rPr>
          <w:rFonts w:ascii="Rockwell" w:hAnsi="Rockwell" w:cs="Times New Roman"/>
          <w:color w:val="0070C0"/>
          <w:sz w:val="28"/>
          <w:szCs w:val="28"/>
        </w:rPr>
        <w:t xml:space="preserve"> de Toulon revendique </w:t>
      </w:r>
      <w:r w:rsidRPr="001F79D4">
        <w:rPr>
          <w:rFonts w:ascii="Rockwell" w:hAnsi="Rockwell" w:cs="Times New Roman"/>
          <w:bCs/>
          <w:color w:val="0070C0"/>
          <w:sz w:val="28"/>
          <w:szCs w:val="28"/>
        </w:rPr>
        <w:t>haut et fort face à cette pandémie, qui fait ressortir la logique financière et la politique libérale engagées depuis des années</w:t>
      </w:r>
      <w:r w:rsidR="001F79D4" w:rsidRPr="001F79D4">
        <w:rPr>
          <w:rFonts w:ascii="Rockwell" w:hAnsi="Rockwell" w:cs="Times New Roman"/>
          <w:bCs/>
          <w:color w:val="0070C0"/>
          <w:sz w:val="28"/>
          <w:szCs w:val="28"/>
        </w:rPr>
        <w:t>,</w:t>
      </w:r>
      <w:r w:rsidRPr="001F79D4">
        <w:rPr>
          <w:rFonts w:ascii="Rockwell" w:hAnsi="Rockwell" w:cs="Times New Roman"/>
          <w:bCs/>
          <w:color w:val="0070C0"/>
          <w:sz w:val="28"/>
          <w:szCs w:val="28"/>
        </w:rPr>
        <w:t> des actes !</w:t>
      </w:r>
      <w:r w:rsidR="001F79D4" w:rsidRPr="001F79D4">
        <w:rPr>
          <w:rFonts w:ascii="Rockwell" w:hAnsi="Rockwell" w:cs="Times New Roman"/>
          <w:bCs/>
          <w:color w:val="0070C0"/>
          <w:sz w:val="28"/>
          <w:szCs w:val="28"/>
        </w:rPr>
        <w:t>!!</w:t>
      </w:r>
    </w:p>
    <w:p w:rsidR="00697A13" w:rsidRPr="001F79D4" w:rsidRDefault="00697A13" w:rsidP="00413FD5">
      <w:pPr>
        <w:pStyle w:val="Corps"/>
        <w:jc w:val="both"/>
        <w:rPr>
          <w:rFonts w:ascii="Rockwell" w:hAnsi="Rockwell" w:cs="Times New Roman"/>
          <w:bCs/>
          <w:color w:val="0070C0"/>
          <w:sz w:val="28"/>
          <w:szCs w:val="28"/>
        </w:rPr>
      </w:pPr>
    </w:p>
    <w:p w:rsidR="00697A13" w:rsidRPr="001F79D4" w:rsidRDefault="00697A13" w:rsidP="00413FD5">
      <w:pPr>
        <w:pStyle w:val="Corps"/>
        <w:jc w:val="both"/>
        <w:rPr>
          <w:rFonts w:ascii="Rockwell" w:hAnsi="Rockwell" w:cs="Times New Roman"/>
          <w:bCs/>
          <w:color w:val="0070C0"/>
          <w:sz w:val="28"/>
          <w:szCs w:val="28"/>
        </w:rPr>
      </w:pPr>
      <w:r w:rsidRPr="001F79D4">
        <w:rPr>
          <w:rFonts w:ascii="Rockwell" w:hAnsi="Rockwell" w:cs="Times New Roman"/>
          <w:bCs/>
          <w:color w:val="0070C0"/>
          <w:sz w:val="28"/>
          <w:szCs w:val="28"/>
        </w:rPr>
        <w:t>Pour nous localement, il est primordial que les personnels, civils e</w:t>
      </w:r>
      <w:r w:rsidR="00AD24AB">
        <w:rPr>
          <w:rFonts w:ascii="Rockwell" w:hAnsi="Rockwell" w:cs="Times New Roman"/>
          <w:bCs/>
          <w:color w:val="0070C0"/>
          <w:sz w:val="28"/>
          <w:szCs w:val="28"/>
        </w:rPr>
        <w:t>t militaires qui assurent la PCA</w:t>
      </w:r>
      <w:r w:rsidRPr="001F79D4">
        <w:rPr>
          <w:rFonts w:ascii="Rockwell" w:hAnsi="Rockwell" w:cs="Times New Roman"/>
          <w:bCs/>
          <w:color w:val="0070C0"/>
          <w:sz w:val="28"/>
          <w:szCs w:val="28"/>
        </w:rPr>
        <w:t xml:space="preserve"> puissent bénéficier des protections indispensables pour assurer la mission sans courir de risque d’infection et de propagation vers leur famille.</w:t>
      </w:r>
    </w:p>
    <w:p w:rsidR="00697A13" w:rsidRPr="001F79D4" w:rsidRDefault="00697A13" w:rsidP="00413FD5">
      <w:pPr>
        <w:pStyle w:val="Corps"/>
        <w:jc w:val="both"/>
        <w:rPr>
          <w:rFonts w:ascii="Rockwell" w:hAnsi="Rockwell" w:cs="Times New Roman"/>
          <w:bCs/>
          <w:color w:val="0070C0"/>
          <w:sz w:val="28"/>
          <w:szCs w:val="28"/>
        </w:rPr>
      </w:pPr>
    </w:p>
    <w:p w:rsidR="00697A13" w:rsidRPr="001F79D4" w:rsidRDefault="001F79D4" w:rsidP="00413FD5">
      <w:pPr>
        <w:pStyle w:val="Corps"/>
        <w:jc w:val="both"/>
        <w:rPr>
          <w:rFonts w:ascii="Rockwell" w:hAnsi="Rockwell" w:cs="Times New Roman"/>
          <w:bCs/>
          <w:color w:val="0070C0"/>
          <w:sz w:val="28"/>
          <w:szCs w:val="28"/>
        </w:rPr>
      </w:pPr>
      <w:r w:rsidRPr="001F79D4">
        <w:rPr>
          <w:rFonts w:ascii="Rockwell" w:hAnsi="Rockwell" w:cs="Times New Roman"/>
          <w:bCs/>
          <w:color w:val="0070C0"/>
          <w:sz w:val="28"/>
          <w:szCs w:val="28"/>
        </w:rPr>
        <w:t xml:space="preserve">Adapter la voilure à la situation est vital et Force-Ouvrière sera vigilant au respect des intérêts moraux et financiers des personnels de notre </w:t>
      </w:r>
      <w:proofErr w:type="spellStart"/>
      <w:r w:rsidRPr="001F79D4">
        <w:rPr>
          <w:rFonts w:ascii="Rockwell" w:hAnsi="Rockwell" w:cs="Times New Roman"/>
          <w:bCs/>
          <w:color w:val="0070C0"/>
          <w:sz w:val="28"/>
          <w:szCs w:val="28"/>
        </w:rPr>
        <w:t>BdD</w:t>
      </w:r>
      <w:proofErr w:type="spellEnd"/>
      <w:r w:rsidRPr="001F79D4">
        <w:rPr>
          <w:rFonts w:ascii="Rockwell" w:hAnsi="Rockwell" w:cs="Times New Roman"/>
          <w:bCs/>
          <w:color w:val="0070C0"/>
          <w:sz w:val="28"/>
          <w:szCs w:val="28"/>
        </w:rPr>
        <w:t>.</w:t>
      </w:r>
    </w:p>
    <w:p w:rsidR="001F79D4" w:rsidRPr="001F79D4" w:rsidRDefault="001F79D4" w:rsidP="00413FD5">
      <w:pPr>
        <w:pStyle w:val="Corps"/>
        <w:jc w:val="both"/>
        <w:rPr>
          <w:rFonts w:ascii="Rockwell" w:hAnsi="Rockwell" w:cs="Times New Roman"/>
          <w:bCs/>
          <w:color w:val="0070C0"/>
          <w:sz w:val="28"/>
          <w:szCs w:val="28"/>
        </w:rPr>
      </w:pPr>
    </w:p>
    <w:p w:rsidR="001F79D4" w:rsidRPr="001F79D4" w:rsidRDefault="001F79D4" w:rsidP="00413FD5">
      <w:pPr>
        <w:pStyle w:val="Corps"/>
        <w:jc w:val="both"/>
        <w:rPr>
          <w:rFonts w:ascii="Rockwell" w:hAnsi="Rockwell" w:cs="Times New Roman"/>
          <w:bCs/>
          <w:color w:val="0070C0"/>
          <w:sz w:val="28"/>
          <w:szCs w:val="28"/>
        </w:rPr>
      </w:pPr>
      <w:r w:rsidRPr="001F79D4">
        <w:rPr>
          <w:rFonts w:ascii="Rockwell" w:hAnsi="Rockwell" w:cs="Times New Roman"/>
          <w:bCs/>
          <w:color w:val="0070C0"/>
          <w:sz w:val="28"/>
          <w:szCs w:val="28"/>
        </w:rPr>
        <w:t>Merci de votre écoute</w:t>
      </w:r>
    </w:p>
    <w:p w:rsidR="00697A13" w:rsidRPr="001F79D4" w:rsidRDefault="00697A13" w:rsidP="00413FD5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</w:p>
    <w:p w:rsidR="00413FD5" w:rsidRPr="001F79D4" w:rsidRDefault="00413FD5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</w:p>
    <w:p w:rsidR="009B0202" w:rsidRPr="001F79D4" w:rsidRDefault="001F79D4" w:rsidP="009B0202">
      <w:pPr>
        <w:pStyle w:val="Corps"/>
        <w:jc w:val="both"/>
        <w:rPr>
          <w:rFonts w:ascii="Rockwell" w:hAnsi="Rockwell" w:cs="Times New Roman"/>
          <w:color w:val="0070C0"/>
          <w:sz w:val="28"/>
          <w:szCs w:val="28"/>
        </w:rPr>
      </w:pPr>
      <w:r w:rsidRPr="001F79D4">
        <w:rPr>
          <w:rFonts w:ascii="Rockwell" w:hAnsi="Rockwell" w:cs="Times New Roman"/>
          <w:color w:val="0070C0"/>
          <w:sz w:val="28"/>
          <w:szCs w:val="28"/>
        </w:rPr>
        <w:t>Toulon le 2 avril 2020</w:t>
      </w:r>
    </w:p>
    <w:p w:rsidR="009B0202" w:rsidRPr="00D74253" w:rsidRDefault="009B0202" w:rsidP="009B0202">
      <w:pPr>
        <w:pStyle w:val="Corps"/>
        <w:jc w:val="both"/>
        <w:rPr>
          <w:rFonts w:ascii="Rockwell" w:hAnsi="Rockwell" w:cs="Times New Roman"/>
          <w:sz w:val="28"/>
          <w:szCs w:val="28"/>
        </w:rPr>
      </w:pPr>
    </w:p>
    <w:p w:rsidR="007A406E" w:rsidRPr="00D74253" w:rsidRDefault="007A406E" w:rsidP="009B0202">
      <w:pPr>
        <w:pStyle w:val="Corps"/>
        <w:jc w:val="both"/>
        <w:rPr>
          <w:rFonts w:ascii="Rockwell" w:hAnsi="Rockwell" w:cs="Times New Roman"/>
          <w:sz w:val="28"/>
          <w:szCs w:val="28"/>
        </w:rPr>
      </w:pPr>
    </w:p>
    <w:p w:rsidR="007A406E" w:rsidRPr="00D74253" w:rsidRDefault="007A406E" w:rsidP="009B0202">
      <w:pPr>
        <w:pStyle w:val="Corps"/>
        <w:jc w:val="both"/>
        <w:rPr>
          <w:rFonts w:ascii="Rockwell" w:hAnsi="Rockwell" w:cs="Times New Roman"/>
          <w:sz w:val="28"/>
          <w:szCs w:val="28"/>
        </w:rPr>
      </w:pPr>
    </w:p>
    <w:p w:rsidR="00B942E7" w:rsidRPr="00D74253" w:rsidRDefault="00B942E7" w:rsidP="009B0202">
      <w:pPr>
        <w:spacing w:after="120"/>
        <w:jc w:val="both"/>
        <w:rPr>
          <w:rFonts w:ascii="Rockwell" w:hAnsi="Rockwell" w:cs="Times New Roman"/>
          <w:sz w:val="28"/>
          <w:szCs w:val="28"/>
        </w:rPr>
      </w:pPr>
    </w:p>
    <w:sectPr w:rsidR="00B942E7" w:rsidRPr="00D74253" w:rsidSect="00D74FF8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0D0"/>
    <w:multiLevelType w:val="hybridMultilevel"/>
    <w:tmpl w:val="E4AAF158"/>
    <w:lvl w:ilvl="0" w:tplc="3EE42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D11"/>
    <w:multiLevelType w:val="hybridMultilevel"/>
    <w:tmpl w:val="9F5C1AE6"/>
    <w:lvl w:ilvl="0" w:tplc="8294F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526"/>
    <w:multiLevelType w:val="hybridMultilevel"/>
    <w:tmpl w:val="FF88BAF4"/>
    <w:lvl w:ilvl="0" w:tplc="E7E85F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13AD"/>
    <w:multiLevelType w:val="hybridMultilevel"/>
    <w:tmpl w:val="97BA2EAE"/>
    <w:numStyleLink w:val="Tiret"/>
  </w:abstractNum>
  <w:abstractNum w:abstractNumId="4" w15:restartNumberingAfterBreak="0">
    <w:nsid w:val="75B04521"/>
    <w:multiLevelType w:val="hybridMultilevel"/>
    <w:tmpl w:val="C7884DB0"/>
    <w:lvl w:ilvl="0" w:tplc="2332A2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B5096"/>
    <w:multiLevelType w:val="hybridMultilevel"/>
    <w:tmpl w:val="97BA2EAE"/>
    <w:styleLink w:val="Tiret"/>
    <w:lvl w:ilvl="0" w:tplc="0EF40F76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BE87C8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ADB58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CB082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6BCA2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E1C22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04128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DEF294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9E34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A"/>
    <w:rsid w:val="00025D4E"/>
    <w:rsid w:val="000A1D1C"/>
    <w:rsid w:val="000E18FF"/>
    <w:rsid w:val="00105A78"/>
    <w:rsid w:val="001B7C80"/>
    <w:rsid w:val="001F73C9"/>
    <w:rsid w:val="001F79D4"/>
    <w:rsid w:val="002635CD"/>
    <w:rsid w:val="002861B4"/>
    <w:rsid w:val="0028696F"/>
    <w:rsid w:val="00296F02"/>
    <w:rsid w:val="002C6749"/>
    <w:rsid w:val="003405DD"/>
    <w:rsid w:val="0037650F"/>
    <w:rsid w:val="003E2B48"/>
    <w:rsid w:val="00402ADB"/>
    <w:rsid w:val="00413FD5"/>
    <w:rsid w:val="00432220"/>
    <w:rsid w:val="004674B8"/>
    <w:rsid w:val="004E2704"/>
    <w:rsid w:val="00513C3A"/>
    <w:rsid w:val="005E1736"/>
    <w:rsid w:val="005F79F4"/>
    <w:rsid w:val="00697A13"/>
    <w:rsid w:val="00733E24"/>
    <w:rsid w:val="00760D93"/>
    <w:rsid w:val="00795D44"/>
    <w:rsid w:val="007A406E"/>
    <w:rsid w:val="007C5212"/>
    <w:rsid w:val="008070FE"/>
    <w:rsid w:val="0083177B"/>
    <w:rsid w:val="00837B54"/>
    <w:rsid w:val="00880AA0"/>
    <w:rsid w:val="008B7703"/>
    <w:rsid w:val="008C3D50"/>
    <w:rsid w:val="008E7092"/>
    <w:rsid w:val="00923EBA"/>
    <w:rsid w:val="009442DD"/>
    <w:rsid w:val="009B0202"/>
    <w:rsid w:val="00A40B73"/>
    <w:rsid w:val="00A528DE"/>
    <w:rsid w:val="00A66BC9"/>
    <w:rsid w:val="00AB0AA5"/>
    <w:rsid w:val="00AB390B"/>
    <w:rsid w:val="00AD24AB"/>
    <w:rsid w:val="00AD6D8F"/>
    <w:rsid w:val="00B20733"/>
    <w:rsid w:val="00B713F0"/>
    <w:rsid w:val="00B942E7"/>
    <w:rsid w:val="00BC0CCD"/>
    <w:rsid w:val="00C0185A"/>
    <w:rsid w:val="00C65B2A"/>
    <w:rsid w:val="00CA68D7"/>
    <w:rsid w:val="00D42C75"/>
    <w:rsid w:val="00D5689B"/>
    <w:rsid w:val="00D57802"/>
    <w:rsid w:val="00D670FC"/>
    <w:rsid w:val="00D74253"/>
    <w:rsid w:val="00D74FF8"/>
    <w:rsid w:val="00D75FBC"/>
    <w:rsid w:val="00D81A59"/>
    <w:rsid w:val="00DE54CC"/>
    <w:rsid w:val="00E33498"/>
    <w:rsid w:val="00E96554"/>
    <w:rsid w:val="00EC67F8"/>
    <w:rsid w:val="00EF6467"/>
    <w:rsid w:val="00F73DD3"/>
    <w:rsid w:val="00F75BB1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2885-21AA-4F9C-BB68-A9EB2A03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B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3EBA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025D4E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paragraph" w:customStyle="1" w:styleId="Corps">
    <w:name w:val="Corps"/>
    <w:rsid w:val="007A4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">
    <w:name w:val="Aucun"/>
    <w:rsid w:val="007A406E"/>
    <w:rPr>
      <w:lang w:val="fr-FR"/>
    </w:rPr>
  </w:style>
  <w:style w:type="numbering" w:customStyle="1" w:styleId="Tiret">
    <w:name w:val="Tiret"/>
    <w:rsid w:val="007A406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cp:lastModifiedBy>Utilisateur</cp:lastModifiedBy>
  <cp:revision>2</cp:revision>
  <cp:lastPrinted>2018-12-05T09:49:00Z</cp:lastPrinted>
  <dcterms:created xsi:type="dcterms:W3CDTF">2020-04-06T12:46:00Z</dcterms:created>
  <dcterms:modified xsi:type="dcterms:W3CDTF">2020-04-06T12:46:00Z</dcterms:modified>
</cp:coreProperties>
</file>