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04" w:rsidRPr="00997F08" w:rsidRDefault="00316E04" w:rsidP="00997F08">
      <w:pPr>
        <w:rPr>
          <w:rFonts w:ascii="Rockwell" w:hAnsi="Rockwell"/>
          <w:b/>
          <w:sz w:val="36"/>
          <w:szCs w:val="36"/>
        </w:rPr>
      </w:pPr>
      <w:bookmarkStart w:id="0" w:name="_GoBack"/>
      <w:bookmarkEnd w:id="0"/>
      <w:r w:rsidRPr="00316E04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957074" cy="10576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 DEF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4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F08">
        <w:rPr>
          <w:rFonts w:ascii="Rockwell" w:hAnsi="Rockwell"/>
          <w:b/>
          <w:color w:val="FF0000"/>
          <w:sz w:val="36"/>
          <w:szCs w:val="36"/>
        </w:rPr>
        <w:t xml:space="preserve">Union Régionale FO/DEFENSE </w:t>
      </w:r>
    </w:p>
    <w:p w:rsidR="00AE2570" w:rsidRPr="00997F08" w:rsidRDefault="00316E04" w:rsidP="00316E04">
      <w:pPr>
        <w:jc w:val="center"/>
        <w:rPr>
          <w:b/>
          <w:color w:val="FF0000"/>
          <w:sz w:val="36"/>
          <w:szCs w:val="36"/>
          <w:u w:val="single"/>
        </w:rPr>
      </w:pPr>
      <w:r w:rsidRPr="00997F08">
        <w:rPr>
          <w:rFonts w:ascii="Rockwell" w:hAnsi="Rockwell"/>
          <w:b/>
          <w:color w:val="FF0000"/>
          <w:sz w:val="36"/>
          <w:szCs w:val="36"/>
        </w:rPr>
        <w:t>de la   BdD Toulon et Secteurs Assimilés</w:t>
      </w:r>
    </w:p>
    <w:p w:rsidR="00997F08" w:rsidRPr="00997F08" w:rsidRDefault="00997F08" w:rsidP="001A4B44">
      <w:pPr>
        <w:jc w:val="center"/>
        <w:rPr>
          <w:rFonts w:ascii="Rockwell" w:hAnsi="Rockwell"/>
          <w:b/>
          <w:sz w:val="32"/>
          <w:szCs w:val="32"/>
          <w:u w:val="single"/>
        </w:rPr>
      </w:pPr>
    </w:p>
    <w:p w:rsidR="001A4B44" w:rsidRPr="00997F08" w:rsidRDefault="00316E04" w:rsidP="001A4B44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997F08">
        <w:rPr>
          <w:rFonts w:ascii="Rockwell" w:hAnsi="Rockwell"/>
          <w:b/>
          <w:sz w:val="32"/>
          <w:szCs w:val="32"/>
          <w:u w:val="single"/>
        </w:rPr>
        <w:t>CO</w:t>
      </w:r>
      <w:r w:rsidR="00AE2570" w:rsidRPr="00997F08">
        <w:rPr>
          <w:rFonts w:ascii="Rockwell" w:hAnsi="Rockwell"/>
          <w:b/>
          <w:sz w:val="32"/>
          <w:szCs w:val="32"/>
          <w:u w:val="single"/>
        </w:rPr>
        <w:t>MPTE RENDU du CT Bd</w:t>
      </w:r>
      <w:r w:rsidR="001A4B44" w:rsidRPr="00997F08">
        <w:rPr>
          <w:rFonts w:ascii="Rockwell" w:hAnsi="Rockwell"/>
          <w:b/>
          <w:sz w:val="32"/>
          <w:szCs w:val="32"/>
          <w:u w:val="single"/>
        </w:rPr>
        <w:t>D</w:t>
      </w:r>
      <w:r w:rsidRPr="00997F08">
        <w:rPr>
          <w:rFonts w:ascii="Rockwell" w:hAnsi="Rockwell"/>
          <w:b/>
          <w:sz w:val="32"/>
          <w:szCs w:val="32"/>
          <w:u w:val="single"/>
        </w:rPr>
        <w:t xml:space="preserve"> extraordinaire</w:t>
      </w:r>
      <w:r w:rsidR="001A63C1">
        <w:rPr>
          <w:rFonts w:ascii="Rockwell" w:hAnsi="Rockwell"/>
          <w:b/>
          <w:sz w:val="32"/>
          <w:szCs w:val="32"/>
          <w:u w:val="single"/>
        </w:rPr>
        <w:t xml:space="preserve"> COVID 19</w:t>
      </w:r>
    </w:p>
    <w:p w:rsidR="00997F08" w:rsidRPr="00997F08" w:rsidRDefault="00997F08" w:rsidP="004007F6">
      <w:pPr>
        <w:spacing w:after="120" w:line="240" w:lineRule="auto"/>
        <w:rPr>
          <w:rFonts w:ascii="Rockwell" w:hAnsi="Rockwell"/>
        </w:rPr>
      </w:pPr>
    </w:p>
    <w:p w:rsidR="00AE2570" w:rsidRPr="00997F08" w:rsidRDefault="008E43A2" w:rsidP="004007F6">
      <w:pPr>
        <w:spacing w:after="120" w:line="240" w:lineRule="auto"/>
        <w:rPr>
          <w:rFonts w:ascii="Rockwell" w:hAnsi="Rockwell"/>
        </w:rPr>
      </w:pPr>
      <w:r w:rsidRPr="00997F08">
        <w:rPr>
          <w:rFonts w:ascii="Rockwell" w:hAnsi="Rockwell"/>
        </w:rPr>
        <w:t>Le Comité Technique</w:t>
      </w:r>
      <w:r w:rsidR="00316E04" w:rsidRPr="00997F08">
        <w:rPr>
          <w:rFonts w:ascii="Rockwell" w:hAnsi="Rockwell"/>
        </w:rPr>
        <w:t xml:space="preserve"> extraordinaire</w:t>
      </w:r>
      <w:r w:rsidRPr="00997F08">
        <w:rPr>
          <w:rFonts w:ascii="Rockwell" w:hAnsi="Rockwell"/>
        </w:rPr>
        <w:t xml:space="preserve"> de la Base de Défe</w:t>
      </w:r>
      <w:r w:rsidR="00316E04" w:rsidRPr="00997F08">
        <w:rPr>
          <w:rFonts w:ascii="Rockwell" w:hAnsi="Rockwell"/>
        </w:rPr>
        <w:t>nse de Toulon s’est réuni le jeudi 2 avril  2020</w:t>
      </w:r>
      <w:r w:rsidR="00DD3029" w:rsidRPr="00997F08">
        <w:rPr>
          <w:rFonts w:ascii="Rockwell" w:hAnsi="Rockwell"/>
        </w:rPr>
        <w:t xml:space="preserve"> </w:t>
      </w:r>
      <w:r w:rsidRPr="00997F08">
        <w:rPr>
          <w:rFonts w:ascii="Rockwell" w:hAnsi="Rockwell"/>
        </w:rPr>
        <w:t>sou</w:t>
      </w:r>
      <w:r w:rsidR="00AE2570" w:rsidRPr="00997F08">
        <w:rPr>
          <w:rFonts w:ascii="Rockwell" w:hAnsi="Rockwell"/>
        </w:rPr>
        <w:t>s la présidence du Contre-A</w:t>
      </w:r>
      <w:r w:rsidRPr="00997F08">
        <w:rPr>
          <w:rFonts w:ascii="Rockwell" w:hAnsi="Rockwell"/>
        </w:rPr>
        <w:t xml:space="preserve">miral Laurent </w:t>
      </w:r>
      <w:r w:rsidR="00AE2570" w:rsidRPr="00997F08">
        <w:rPr>
          <w:rFonts w:ascii="Rockwell" w:hAnsi="Rockwell"/>
        </w:rPr>
        <w:t>HEMMER, C</w:t>
      </w:r>
      <w:r w:rsidRPr="00997F08">
        <w:rPr>
          <w:rFonts w:ascii="Rockwell" w:hAnsi="Rockwell"/>
        </w:rPr>
        <w:t>ommandant</w:t>
      </w:r>
      <w:r w:rsidR="00AE2570" w:rsidRPr="00997F08">
        <w:rPr>
          <w:rFonts w:ascii="Rockwell" w:hAnsi="Rockwell"/>
        </w:rPr>
        <w:t xml:space="preserve"> de la Base de D</w:t>
      </w:r>
      <w:r w:rsidR="00316E04" w:rsidRPr="00997F08">
        <w:rPr>
          <w:rFonts w:ascii="Rockwell" w:hAnsi="Rockwell"/>
        </w:rPr>
        <w:t>éfense de Toulon, du Directeur du CMG Toulon, L’HCHC Sébastien PLANTADIS et des Directeurs de l’HIA Ste ANNE et du GSBDD Toulon.</w:t>
      </w:r>
    </w:p>
    <w:p w:rsidR="008E43A2" w:rsidRPr="00997F08" w:rsidRDefault="00AE2570" w:rsidP="004007F6">
      <w:pPr>
        <w:spacing w:after="120" w:line="240" w:lineRule="auto"/>
        <w:jc w:val="both"/>
        <w:rPr>
          <w:rFonts w:ascii="Rockwell" w:hAnsi="Rockwell"/>
        </w:rPr>
      </w:pPr>
      <w:r w:rsidRPr="00997F08">
        <w:rPr>
          <w:rFonts w:ascii="Rockwell" w:hAnsi="Rockwell"/>
        </w:rPr>
        <w:t>La</w:t>
      </w:r>
      <w:r w:rsidR="008E43A2" w:rsidRPr="00997F08">
        <w:rPr>
          <w:rFonts w:ascii="Rockwell" w:hAnsi="Rockwell"/>
        </w:rPr>
        <w:t xml:space="preserve"> délégation</w:t>
      </w:r>
      <w:r w:rsidRPr="00997F08">
        <w:rPr>
          <w:rFonts w:ascii="Rockwell" w:hAnsi="Rockwell"/>
        </w:rPr>
        <w:t xml:space="preserve"> </w:t>
      </w:r>
      <w:r w:rsidRPr="00997F08">
        <w:rPr>
          <w:rFonts w:ascii="Rockwell" w:hAnsi="Rockwell"/>
          <w:color w:val="FF0000"/>
        </w:rPr>
        <w:t xml:space="preserve">FORCE-OUVRIERE </w:t>
      </w:r>
      <w:r w:rsidR="008E43A2" w:rsidRPr="00997F08">
        <w:rPr>
          <w:rFonts w:ascii="Rockwell" w:hAnsi="Rockwell"/>
        </w:rPr>
        <w:t>étai</w:t>
      </w:r>
      <w:r w:rsidR="00DD3029" w:rsidRPr="00997F08">
        <w:rPr>
          <w:rFonts w:ascii="Rockwell" w:hAnsi="Rockwell"/>
        </w:rPr>
        <w:t>t composée de J</w:t>
      </w:r>
      <w:r w:rsidR="008E43A2" w:rsidRPr="00997F08">
        <w:rPr>
          <w:rFonts w:ascii="Rockwell" w:hAnsi="Rockwell"/>
        </w:rPr>
        <w:t>ean</w:t>
      </w:r>
      <w:r w:rsidR="00DD3029" w:rsidRPr="00997F08">
        <w:rPr>
          <w:rFonts w:ascii="Rockwell" w:hAnsi="Rockwell"/>
        </w:rPr>
        <w:t>-Michel</w:t>
      </w:r>
      <w:r w:rsidR="008E43A2" w:rsidRPr="00997F08">
        <w:rPr>
          <w:rFonts w:ascii="Rockwell" w:hAnsi="Rockwell"/>
        </w:rPr>
        <w:t xml:space="preserve"> </w:t>
      </w:r>
      <w:r w:rsidR="00DD3029" w:rsidRPr="00997F08">
        <w:rPr>
          <w:rFonts w:ascii="Rockwell" w:hAnsi="Rockwell"/>
        </w:rPr>
        <w:t>PAGLIARO</w:t>
      </w:r>
      <w:r w:rsidRPr="00997F08">
        <w:rPr>
          <w:rFonts w:ascii="Rockwell" w:hAnsi="Rockwell"/>
        </w:rPr>
        <w:t>,</w:t>
      </w:r>
      <w:r w:rsidR="008E43A2" w:rsidRPr="00997F08">
        <w:rPr>
          <w:rFonts w:ascii="Rockwell" w:hAnsi="Rockwell"/>
        </w:rPr>
        <w:t xml:space="preserve"> </w:t>
      </w:r>
      <w:r w:rsidR="00DD3029" w:rsidRPr="00997F08">
        <w:rPr>
          <w:rFonts w:ascii="Rockwell" w:hAnsi="Rockwell"/>
        </w:rPr>
        <w:t>Lionel</w:t>
      </w:r>
      <w:r w:rsidR="008E43A2" w:rsidRPr="00997F08">
        <w:rPr>
          <w:rFonts w:ascii="Rockwell" w:hAnsi="Rockwell"/>
        </w:rPr>
        <w:t xml:space="preserve"> </w:t>
      </w:r>
      <w:r w:rsidR="00316E04" w:rsidRPr="00997F08">
        <w:rPr>
          <w:rFonts w:ascii="Rockwell" w:hAnsi="Rockwell"/>
        </w:rPr>
        <w:t>GIGLI et</w:t>
      </w:r>
      <w:r w:rsidR="00DD3029" w:rsidRPr="00997F08">
        <w:rPr>
          <w:rFonts w:ascii="Rockwell" w:hAnsi="Rockwell"/>
        </w:rPr>
        <w:t xml:space="preserve"> P</w:t>
      </w:r>
      <w:r w:rsidR="008E43A2" w:rsidRPr="00997F08">
        <w:rPr>
          <w:rFonts w:ascii="Rockwell" w:hAnsi="Rockwell"/>
        </w:rPr>
        <w:t>ierre</w:t>
      </w:r>
      <w:r w:rsidR="00DD3029" w:rsidRPr="00997F08">
        <w:rPr>
          <w:rFonts w:ascii="Rockwell" w:hAnsi="Rockwell"/>
        </w:rPr>
        <w:t>- J</w:t>
      </w:r>
      <w:r w:rsidR="008E43A2" w:rsidRPr="00997F08">
        <w:rPr>
          <w:rFonts w:ascii="Rockwell" w:hAnsi="Rockwell"/>
        </w:rPr>
        <w:t>ean</w:t>
      </w:r>
      <w:r w:rsidR="00DD3029" w:rsidRPr="00997F08">
        <w:rPr>
          <w:rFonts w:ascii="Rockwell" w:hAnsi="Rockwell"/>
        </w:rPr>
        <w:t xml:space="preserve"> </w:t>
      </w:r>
      <w:r w:rsidR="008E43A2" w:rsidRPr="00997F08">
        <w:rPr>
          <w:rFonts w:ascii="Rockwell" w:hAnsi="Rockwell"/>
        </w:rPr>
        <w:t xml:space="preserve"> </w:t>
      </w:r>
      <w:r w:rsidR="00316E04" w:rsidRPr="00997F08">
        <w:rPr>
          <w:rFonts w:ascii="Rockwell" w:hAnsi="Rockwell"/>
        </w:rPr>
        <w:t>LEROY</w:t>
      </w:r>
      <w:r w:rsidR="008E43A2" w:rsidRPr="00997F08">
        <w:rPr>
          <w:rFonts w:ascii="Rockwell" w:hAnsi="Rockwell"/>
        </w:rPr>
        <w:t>.</w:t>
      </w:r>
    </w:p>
    <w:p w:rsidR="009617F7" w:rsidRPr="00997F08" w:rsidRDefault="00316E04" w:rsidP="004007F6">
      <w:pPr>
        <w:spacing w:after="120" w:line="240" w:lineRule="auto"/>
        <w:jc w:val="both"/>
        <w:rPr>
          <w:rFonts w:ascii="Rockwell" w:hAnsi="Rockwell"/>
        </w:rPr>
      </w:pPr>
      <w:r w:rsidRPr="00997F08">
        <w:rPr>
          <w:rFonts w:ascii="Rockwell" w:hAnsi="Rockwell"/>
        </w:rPr>
        <w:t>Les organisations syndicales ont procédé à la lecture de leurs déclarations liminaires.</w:t>
      </w:r>
    </w:p>
    <w:p w:rsidR="00DA4FFB" w:rsidRPr="00997F08" w:rsidRDefault="00DA4FFB" w:rsidP="004007F6">
      <w:pPr>
        <w:spacing w:after="120" w:line="240" w:lineRule="auto"/>
        <w:jc w:val="both"/>
        <w:rPr>
          <w:rFonts w:ascii="Rockwell" w:hAnsi="Rockwell"/>
        </w:rPr>
      </w:pPr>
      <w:r w:rsidRPr="00997F08">
        <w:rPr>
          <w:rFonts w:ascii="Rockwell" w:hAnsi="Rockwell"/>
        </w:rPr>
        <w:t>L’administration nous fait part des multiples sollicitations de la part des autorités publiques dans la lutte contre la pandémie : à cet instant, le GSBDD, les Marins-Pompiers et un régiment de l’Armée de terre sont requis.</w:t>
      </w:r>
    </w:p>
    <w:p w:rsidR="00DA4FFB" w:rsidRPr="00997F08" w:rsidRDefault="00DA4FFB" w:rsidP="004007F6">
      <w:pPr>
        <w:spacing w:after="120" w:line="240" w:lineRule="auto"/>
        <w:jc w:val="both"/>
        <w:rPr>
          <w:rFonts w:ascii="Rockwell" w:hAnsi="Rockwell"/>
        </w:rPr>
      </w:pPr>
      <w:r w:rsidRPr="00997F08">
        <w:rPr>
          <w:rFonts w:ascii="Rockwell" w:hAnsi="Rockwell"/>
        </w:rPr>
        <w:t>Le Commandant du Porte Hélicoptère Amphibie Le Tonnerre nous informe sur la mission menée en Corse pour l’évacuation des malades du Covid19 et a souligné toute l’importance des différents services de soutien qui lui ont permis d’effectuer sa mission</w:t>
      </w:r>
      <w:r w:rsidR="001A63C1">
        <w:rPr>
          <w:rFonts w:ascii="Rockwell" w:hAnsi="Rockwell"/>
        </w:rPr>
        <w:t>.</w:t>
      </w:r>
    </w:p>
    <w:p w:rsidR="00997F08" w:rsidRPr="00997F08" w:rsidRDefault="00997F08" w:rsidP="004007F6">
      <w:pPr>
        <w:spacing w:after="120" w:line="240" w:lineRule="auto"/>
        <w:jc w:val="both"/>
        <w:rPr>
          <w:rFonts w:ascii="Rockwell" w:hAnsi="Rockwell"/>
        </w:rPr>
      </w:pPr>
    </w:p>
    <w:p w:rsidR="00A75FD0" w:rsidRPr="00997F08" w:rsidRDefault="00AE2570" w:rsidP="0040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jc w:val="both"/>
        <w:rPr>
          <w:rFonts w:ascii="Rockwell" w:hAnsi="Rockwell"/>
          <w:sz w:val="28"/>
          <w:szCs w:val="28"/>
        </w:rPr>
      </w:pPr>
      <w:r w:rsidRPr="00997F08">
        <w:rPr>
          <w:rFonts w:ascii="Rockwell" w:hAnsi="Rockwell"/>
          <w:color w:val="FF0000"/>
          <w:sz w:val="28"/>
          <w:szCs w:val="28"/>
        </w:rPr>
        <w:t>FORCE-OUVRIERE</w:t>
      </w:r>
      <w:r w:rsidR="00CA0357" w:rsidRPr="00997F08">
        <w:rPr>
          <w:rFonts w:ascii="Rockwell" w:hAnsi="Rockwell"/>
          <w:color w:val="FF0000"/>
          <w:sz w:val="28"/>
          <w:szCs w:val="28"/>
        </w:rPr>
        <w:t xml:space="preserve"> </w:t>
      </w:r>
      <w:r w:rsidR="00A75FD0" w:rsidRPr="00997F08">
        <w:rPr>
          <w:rFonts w:ascii="Rockwell" w:hAnsi="Rockwell"/>
          <w:sz w:val="28"/>
          <w:szCs w:val="28"/>
        </w:rPr>
        <w:t>relève toute l’importance du soutien et de l’engagement des personnels dans cette période de crise. Le Commissariat des Armées, comme toutes les</w:t>
      </w:r>
      <w:r w:rsidR="00997F08" w:rsidRPr="00997F08">
        <w:rPr>
          <w:rFonts w:ascii="Rockwell" w:hAnsi="Rockwell"/>
          <w:sz w:val="28"/>
          <w:szCs w:val="28"/>
        </w:rPr>
        <w:t xml:space="preserve"> autres D</w:t>
      </w:r>
      <w:r w:rsidR="00A75FD0" w:rsidRPr="00997F08">
        <w:rPr>
          <w:rFonts w:ascii="Rockwell" w:hAnsi="Rockwell"/>
          <w:sz w:val="28"/>
          <w:szCs w:val="28"/>
        </w:rPr>
        <w:t>irections et Services n’ont pas été épargnées par les nombreuses déflations de personnels.</w:t>
      </w:r>
    </w:p>
    <w:p w:rsidR="00A75FD0" w:rsidRPr="00997F08" w:rsidRDefault="00A75FD0" w:rsidP="0040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jc w:val="both"/>
        <w:rPr>
          <w:rFonts w:ascii="Rockwell" w:hAnsi="Rockwell"/>
          <w:sz w:val="28"/>
          <w:szCs w:val="28"/>
        </w:rPr>
      </w:pPr>
      <w:r w:rsidRPr="00997F08">
        <w:rPr>
          <w:rFonts w:ascii="Rockwell" w:hAnsi="Rockwell"/>
          <w:sz w:val="28"/>
          <w:szCs w:val="28"/>
        </w:rPr>
        <w:t xml:space="preserve">Si la RGPP ou la MAP semblent appartenir au passé, leurs effets pervers et néfastes se font </w:t>
      </w:r>
      <w:r w:rsidR="00AF5E3E">
        <w:rPr>
          <w:rFonts w:ascii="Rockwell" w:hAnsi="Rockwell"/>
          <w:sz w:val="28"/>
          <w:szCs w:val="28"/>
        </w:rPr>
        <w:t xml:space="preserve">sentir </w:t>
      </w:r>
      <w:r w:rsidRPr="00997F08">
        <w:rPr>
          <w:rFonts w:ascii="Rockwell" w:hAnsi="Rockwell"/>
          <w:sz w:val="28"/>
          <w:szCs w:val="28"/>
        </w:rPr>
        <w:t xml:space="preserve">maintenant, pendant cette crise sans précédent ! </w:t>
      </w:r>
      <w:r w:rsidR="00997F08">
        <w:rPr>
          <w:rFonts w:ascii="Rockwell" w:hAnsi="Rockwell"/>
          <w:sz w:val="28"/>
          <w:szCs w:val="28"/>
        </w:rPr>
        <w:t xml:space="preserve">Et la </w:t>
      </w:r>
      <w:r w:rsidR="00A87687">
        <w:rPr>
          <w:rFonts w:ascii="Rockwell" w:hAnsi="Rockwell"/>
          <w:sz w:val="28"/>
          <w:szCs w:val="28"/>
        </w:rPr>
        <w:t>suppression ou autre fusion de CHS-CT d’emprise avec les CT nous paraissent bien hasardeuses et dangereuses</w:t>
      </w:r>
    </w:p>
    <w:p w:rsidR="00997F08" w:rsidRDefault="00997F08" w:rsidP="00D16E3C">
      <w:pPr>
        <w:spacing w:after="120" w:line="240" w:lineRule="auto"/>
        <w:jc w:val="both"/>
      </w:pPr>
    </w:p>
    <w:p w:rsidR="001A63C1" w:rsidRDefault="001A63C1" w:rsidP="00D16E3C">
      <w:pPr>
        <w:spacing w:after="120" w:line="240" w:lineRule="auto"/>
        <w:jc w:val="both"/>
      </w:pPr>
    </w:p>
    <w:p w:rsidR="001A63C1" w:rsidRPr="001A63C1" w:rsidRDefault="001A63C1" w:rsidP="00D16E3C">
      <w:pPr>
        <w:spacing w:after="120" w:line="240" w:lineRule="auto"/>
        <w:jc w:val="both"/>
        <w:rPr>
          <w:rFonts w:ascii="Rockwell" w:hAnsi="Rockwell"/>
        </w:rPr>
      </w:pPr>
      <w:r>
        <w:rPr>
          <w:rFonts w:ascii="Rockwell" w:hAnsi="Rockwell"/>
        </w:rPr>
        <w:lastRenderedPageBreak/>
        <w:t>L’administration s’engage  dans un concept de communication vers l’ensemble des agents et de leurs représentants dans la transparence et la confiance.</w:t>
      </w:r>
    </w:p>
    <w:p w:rsidR="00B05DF4" w:rsidRDefault="00D16E3C" w:rsidP="001A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Rockwell" w:hAnsi="Rockwell"/>
          <w:sz w:val="28"/>
          <w:szCs w:val="28"/>
        </w:rPr>
      </w:pPr>
      <w:r w:rsidRPr="00997F08">
        <w:rPr>
          <w:rFonts w:ascii="Rockwell" w:hAnsi="Rockwell"/>
          <w:color w:val="FF0000"/>
          <w:sz w:val="28"/>
          <w:szCs w:val="28"/>
        </w:rPr>
        <w:t xml:space="preserve">FORCE OUVRIERE </w:t>
      </w:r>
      <w:r w:rsidR="001A63C1" w:rsidRPr="001A63C1">
        <w:rPr>
          <w:rFonts w:ascii="Rockwell" w:hAnsi="Rockwell"/>
          <w:sz w:val="28"/>
          <w:szCs w:val="28"/>
        </w:rPr>
        <w:t>entend et prend note de cet engagement</w:t>
      </w:r>
      <w:r w:rsidR="000153B8">
        <w:rPr>
          <w:rFonts w:ascii="Rockwell" w:hAnsi="Rockwell"/>
          <w:sz w:val="28"/>
          <w:szCs w:val="28"/>
        </w:rPr>
        <w:t>,</w:t>
      </w:r>
      <w:r w:rsidR="001A63C1">
        <w:rPr>
          <w:rFonts w:ascii="Rockwell" w:hAnsi="Rockwell"/>
          <w:sz w:val="28"/>
          <w:szCs w:val="28"/>
        </w:rPr>
        <w:t xml:space="preserve"> </w:t>
      </w:r>
      <w:r w:rsidR="000153B8">
        <w:rPr>
          <w:rFonts w:ascii="Rockwell" w:hAnsi="Rockwell"/>
          <w:sz w:val="28"/>
          <w:szCs w:val="28"/>
        </w:rPr>
        <w:t xml:space="preserve">et de fait </w:t>
      </w:r>
      <w:r w:rsidR="001A63C1" w:rsidRPr="001A63C1">
        <w:rPr>
          <w:rFonts w:ascii="Rockwell" w:hAnsi="Rockwell"/>
          <w:sz w:val="28"/>
          <w:szCs w:val="28"/>
        </w:rPr>
        <w:t xml:space="preserve">revendique </w:t>
      </w:r>
      <w:r w:rsidR="001A63C1">
        <w:rPr>
          <w:rFonts w:ascii="Rockwell" w:hAnsi="Rockwell"/>
          <w:sz w:val="28"/>
          <w:szCs w:val="28"/>
        </w:rPr>
        <w:t>la transformation  de tous les contrats 84-16 CDD en CDI</w:t>
      </w:r>
      <w:r w:rsidR="000153B8">
        <w:rPr>
          <w:rFonts w:ascii="Rockwell" w:hAnsi="Rockwell"/>
          <w:sz w:val="28"/>
          <w:szCs w:val="28"/>
        </w:rPr>
        <w:t xml:space="preserve">, </w:t>
      </w:r>
    </w:p>
    <w:p w:rsidR="001A63C1" w:rsidRPr="00997F08" w:rsidRDefault="000153B8" w:rsidP="00997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u</w:t>
      </w:r>
      <w:r w:rsidR="001A63C1">
        <w:rPr>
          <w:rFonts w:ascii="Rockwell" w:hAnsi="Rockwell"/>
          <w:sz w:val="28"/>
          <w:szCs w:val="28"/>
        </w:rPr>
        <w:t xml:space="preserve">ne gestion administrative </w:t>
      </w:r>
      <w:r>
        <w:rPr>
          <w:rFonts w:ascii="Rockwell" w:hAnsi="Rockwell"/>
          <w:sz w:val="28"/>
          <w:szCs w:val="28"/>
        </w:rPr>
        <w:t>limpide sur la gestion des congés payés, des congés maladie et des autorisations spéciales d’absences.</w:t>
      </w:r>
    </w:p>
    <w:p w:rsidR="000153B8" w:rsidRDefault="000153B8" w:rsidP="003E78BF">
      <w:pPr>
        <w:rPr>
          <w:b/>
          <w:color w:val="548DD4" w:themeColor="text2" w:themeTint="99"/>
          <w:sz w:val="28"/>
          <w:szCs w:val="28"/>
          <w:u w:val="single"/>
        </w:rPr>
      </w:pPr>
    </w:p>
    <w:p w:rsidR="00C20480" w:rsidRPr="000153B8" w:rsidRDefault="00C20480" w:rsidP="003E78BF">
      <w:pPr>
        <w:rPr>
          <w:rFonts w:ascii="Rockwell" w:hAnsi="Rockwell"/>
          <w:b/>
          <w:color w:val="548DD4" w:themeColor="text2" w:themeTint="99"/>
          <w:sz w:val="28"/>
          <w:szCs w:val="28"/>
          <w:u w:val="single"/>
        </w:rPr>
      </w:pPr>
      <w:r w:rsidRPr="000153B8">
        <w:rPr>
          <w:rFonts w:ascii="Rockwell" w:hAnsi="Rockwell"/>
          <w:b/>
          <w:color w:val="548DD4" w:themeColor="text2" w:themeTint="99"/>
          <w:sz w:val="28"/>
          <w:szCs w:val="28"/>
          <w:u w:val="single"/>
        </w:rPr>
        <w:t>Conclusion</w:t>
      </w:r>
      <w:r w:rsidR="00432D8C" w:rsidRPr="000153B8">
        <w:rPr>
          <w:rFonts w:ascii="Rockwell" w:hAnsi="Rockwell"/>
          <w:b/>
          <w:color w:val="548DD4" w:themeColor="text2" w:themeTint="99"/>
          <w:sz w:val="28"/>
          <w:szCs w:val="28"/>
          <w:u w:val="single"/>
        </w:rPr>
        <w:t> :</w:t>
      </w:r>
    </w:p>
    <w:p w:rsidR="00C20480" w:rsidRDefault="00AE2570" w:rsidP="004007F6">
      <w:pPr>
        <w:spacing w:after="120" w:line="240" w:lineRule="auto"/>
        <w:jc w:val="both"/>
        <w:rPr>
          <w:rFonts w:ascii="Rockwell" w:hAnsi="Rockwell"/>
        </w:rPr>
      </w:pPr>
      <w:r w:rsidRPr="000153B8">
        <w:rPr>
          <w:rFonts w:ascii="Rockwell" w:hAnsi="Rockwell"/>
          <w:color w:val="FF0000"/>
        </w:rPr>
        <w:t xml:space="preserve">FORCE-OUVRIERE </w:t>
      </w:r>
      <w:r w:rsidR="00CC505E" w:rsidRPr="000153B8">
        <w:rPr>
          <w:rFonts w:ascii="Rockwell" w:hAnsi="Rockwell"/>
        </w:rPr>
        <w:t>dénonce</w:t>
      </w:r>
      <w:r w:rsidR="00C20480" w:rsidRPr="000153B8">
        <w:rPr>
          <w:rFonts w:ascii="Rockwell" w:hAnsi="Rockwell"/>
        </w:rPr>
        <w:t xml:space="preserve"> </w:t>
      </w:r>
      <w:r w:rsidR="000153B8" w:rsidRPr="000153B8">
        <w:rPr>
          <w:rFonts w:ascii="Rockwell" w:hAnsi="Rockwell"/>
        </w:rPr>
        <w:t>depuis fort longtemps</w:t>
      </w:r>
      <w:r w:rsidR="00C20480" w:rsidRPr="000153B8">
        <w:rPr>
          <w:rFonts w:ascii="Rockwell" w:hAnsi="Rockwell"/>
        </w:rPr>
        <w:t xml:space="preserve"> le manque de moyens humains et </w:t>
      </w:r>
      <w:r w:rsidR="000153B8" w:rsidRPr="000153B8">
        <w:rPr>
          <w:rFonts w:ascii="Rockwell" w:hAnsi="Rockwell"/>
        </w:rPr>
        <w:t>matériels</w:t>
      </w:r>
      <w:r w:rsidR="00C20480" w:rsidRPr="000153B8">
        <w:rPr>
          <w:rFonts w:ascii="Rockwell" w:hAnsi="Rockwell"/>
        </w:rPr>
        <w:t xml:space="preserve"> </w:t>
      </w:r>
      <w:r w:rsidR="00B05DF4" w:rsidRPr="000153B8">
        <w:rPr>
          <w:rFonts w:ascii="Rockwell" w:hAnsi="Rockwell"/>
        </w:rPr>
        <w:t xml:space="preserve">dans </w:t>
      </w:r>
      <w:r w:rsidR="00C20480" w:rsidRPr="000153B8">
        <w:rPr>
          <w:rFonts w:ascii="Rockwell" w:hAnsi="Rockwell"/>
        </w:rPr>
        <w:t>notre base de défense</w:t>
      </w:r>
      <w:r w:rsidR="001A63C1" w:rsidRPr="000153B8">
        <w:rPr>
          <w:rFonts w:ascii="Rockwell" w:hAnsi="Rockwell"/>
        </w:rPr>
        <w:t>, autrefois c’était dans une situation normale</w:t>
      </w:r>
      <w:r w:rsidR="000153B8" w:rsidRPr="000153B8">
        <w:rPr>
          <w:rFonts w:ascii="Rockwell" w:hAnsi="Rockwell"/>
        </w:rPr>
        <w:t xml:space="preserve">, </w:t>
      </w:r>
      <w:r w:rsidR="000153B8">
        <w:rPr>
          <w:rFonts w:ascii="Rockwell" w:hAnsi="Rockwell"/>
        </w:rPr>
        <w:t>là c’est une période de « guerre » comme l’a dit le chef des Armées lors de sa première allocution sur la situation que nous traversons. Force est de constater que nous sommes « désarmés » mais Force-Ouvrière est certain que les personnels de toutes catégories sauront faire face tous ensemble pour vaincre ce fléau, l’important sera d’en tirer les leçons pour que l’on puisse dire « Plus jamais ça »</w:t>
      </w:r>
    </w:p>
    <w:p w:rsidR="00AE2570" w:rsidRPr="001A63C1" w:rsidRDefault="00AE2570" w:rsidP="000153B8">
      <w:pPr>
        <w:rPr>
          <w:rFonts w:ascii="Rockwell" w:hAnsi="Rockwell"/>
        </w:rPr>
      </w:pPr>
    </w:p>
    <w:p w:rsidR="00AE2570" w:rsidRPr="0080254F" w:rsidRDefault="001A63C1" w:rsidP="00AE2570">
      <w:pPr>
        <w:jc w:val="right"/>
        <w:rPr>
          <w:rFonts w:ascii="Rockwell" w:hAnsi="Rockwell"/>
        </w:rPr>
      </w:pPr>
      <w:r w:rsidRPr="0080254F">
        <w:rPr>
          <w:rFonts w:ascii="Rockwell" w:hAnsi="Rockwell"/>
        </w:rPr>
        <w:t>Toulon le 2 avril 2020</w:t>
      </w:r>
    </w:p>
    <w:p w:rsidR="00AE2570" w:rsidRPr="00AE2570" w:rsidRDefault="001A63C1" w:rsidP="00AE25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57074" cy="10576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 DEF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4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570" w:rsidRPr="00AE2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B6" w:rsidRDefault="00164EB6" w:rsidP="00B05DF4">
      <w:pPr>
        <w:spacing w:after="0" w:line="240" w:lineRule="auto"/>
      </w:pPr>
      <w:r>
        <w:separator/>
      </w:r>
    </w:p>
  </w:endnote>
  <w:endnote w:type="continuationSeparator" w:id="0">
    <w:p w:rsidR="00164EB6" w:rsidRDefault="00164EB6" w:rsidP="00B0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08" w:rsidRDefault="00997F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38787"/>
      <w:docPartObj>
        <w:docPartGallery w:val="Page Numbers (Bottom of Page)"/>
        <w:docPartUnique/>
      </w:docPartObj>
    </w:sdtPr>
    <w:sdtEndPr/>
    <w:sdtContent>
      <w:p w:rsidR="00B05DF4" w:rsidRDefault="00A87687">
        <w:pPr>
          <w:pStyle w:val="Pieddepage"/>
          <w:jc w:val="right"/>
        </w:pPr>
        <w:r>
          <w:rPr>
            <w:noProof/>
            <w:lang w:eastAsia="fr-FR"/>
          </w:rPr>
          <w:drawing>
            <wp:inline distT="0" distB="0" distL="0" distR="0">
              <wp:extent cx="5715798" cy="952633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ovi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798" cy="9526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05DF4">
          <w:fldChar w:fldCharType="begin"/>
        </w:r>
        <w:r w:rsidR="00B05DF4">
          <w:instrText>PAGE   \* MERGEFORMAT</w:instrText>
        </w:r>
        <w:r w:rsidR="00B05DF4">
          <w:fldChar w:fldCharType="separate"/>
        </w:r>
        <w:r w:rsidR="00824C12">
          <w:rPr>
            <w:noProof/>
          </w:rPr>
          <w:t>1</w:t>
        </w:r>
        <w:r w:rsidR="00B05DF4">
          <w:fldChar w:fldCharType="end"/>
        </w:r>
      </w:p>
    </w:sdtContent>
  </w:sdt>
  <w:p w:rsidR="00B05DF4" w:rsidRDefault="00B05D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08" w:rsidRDefault="00997F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B6" w:rsidRDefault="00164EB6" w:rsidP="00B05DF4">
      <w:pPr>
        <w:spacing w:after="0" w:line="240" w:lineRule="auto"/>
      </w:pPr>
      <w:r>
        <w:separator/>
      </w:r>
    </w:p>
  </w:footnote>
  <w:footnote w:type="continuationSeparator" w:id="0">
    <w:p w:rsidR="00164EB6" w:rsidRDefault="00164EB6" w:rsidP="00B0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08" w:rsidRDefault="00997F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08" w:rsidRDefault="00997F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08" w:rsidRDefault="00997F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33B"/>
    <w:multiLevelType w:val="hybridMultilevel"/>
    <w:tmpl w:val="25128586"/>
    <w:lvl w:ilvl="0" w:tplc="1012E5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49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4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81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6A35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255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E7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AE8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AF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932F1"/>
    <w:multiLevelType w:val="hybridMultilevel"/>
    <w:tmpl w:val="27623DE8"/>
    <w:lvl w:ilvl="0" w:tplc="5450E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E4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6D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06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C42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EF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0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6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AC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F"/>
    <w:rsid w:val="000153B8"/>
    <w:rsid w:val="000C045B"/>
    <w:rsid w:val="00105709"/>
    <w:rsid w:val="00164EB6"/>
    <w:rsid w:val="001A4B44"/>
    <w:rsid w:val="001A63C1"/>
    <w:rsid w:val="00201D19"/>
    <w:rsid w:val="002113F2"/>
    <w:rsid w:val="00247F0F"/>
    <w:rsid w:val="002545A4"/>
    <w:rsid w:val="00272218"/>
    <w:rsid w:val="002D5500"/>
    <w:rsid w:val="00316E04"/>
    <w:rsid w:val="003D63D6"/>
    <w:rsid w:val="003E3CCB"/>
    <w:rsid w:val="003E78BF"/>
    <w:rsid w:val="004007F6"/>
    <w:rsid w:val="00432D8C"/>
    <w:rsid w:val="00435B4A"/>
    <w:rsid w:val="00447E56"/>
    <w:rsid w:val="00485ED7"/>
    <w:rsid w:val="00497BDE"/>
    <w:rsid w:val="005A5389"/>
    <w:rsid w:val="00677BAE"/>
    <w:rsid w:val="00681E1F"/>
    <w:rsid w:val="006B7BFD"/>
    <w:rsid w:val="00735E55"/>
    <w:rsid w:val="007B359B"/>
    <w:rsid w:val="0080254F"/>
    <w:rsid w:val="00805566"/>
    <w:rsid w:val="00824C12"/>
    <w:rsid w:val="008E43A2"/>
    <w:rsid w:val="009617F7"/>
    <w:rsid w:val="00992630"/>
    <w:rsid w:val="00997F08"/>
    <w:rsid w:val="00A25D17"/>
    <w:rsid w:val="00A75FD0"/>
    <w:rsid w:val="00A87687"/>
    <w:rsid w:val="00AC5802"/>
    <w:rsid w:val="00AE2570"/>
    <w:rsid w:val="00AF5E3E"/>
    <w:rsid w:val="00B05DF4"/>
    <w:rsid w:val="00B916AA"/>
    <w:rsid w:val="00C04A40"/>
    <w:rsid w:val="00C20480"/>
    <w:rsid w:val="00C700A7"/>
    <w:rsid w:val="00C76961"/>
    <w:rsid w:val="00CA0357"/>
    <w:rsid w:val="00CA69C7"/>
    <w:rsid w:val="00CC505E"/>
    <w:rsid w:val="00CF0019"/>
    <w:rsid w:val="00D16E3C"/>
    <w:rsid w:val="00D345C8"/>
    <w:rsid w:val="00D62004"/>
    <w:rsid w:val="00D73697"/>
    <w:rsid w:val="00DA4FFB"/>
    <w:rsid w:val="00DD3029"/>
    <w:rsid w:val="00E002FE"/>
    <w:rsid w:val="00E93CE5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CBE93-EE45-41BB-8A0A-726CAD0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DF4"/>
  </w:style>
  <w:style w:type="paragraph" w:styleId="Pieddepage">
    <w:name w:val="footer"/>
    <w:basedOn w:val="Normal"/>
    <w:link w:val="PieddepageCar"/>
    <w:uiPriority w:val="99"/>
    <w:unhideWhenUsed/>
    <w:rsid w:val="00B0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DF4"/>
  </w:style>
  <w:style w:type="paragraph" w:styleId="Textedebulles">
    <w:name w:val="Balloon Text"/>
    <w:basedOn w:val="Normal"/>
    <w:link w:val="TextedebullesCar"/>
    <w:uiPriority w:val="99"/>
    <w:semiHidden/>
    <w:unhideWhenUsed/>
    <w:rsid w:val="009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PAGLIARO Jean-Michel AGT TECH P1CL DEF</dc:creator>
  <cp:lastModifiedBy>Utilisateur</cp:lastModifiedBy>
  <cp:revision>2</cp:revision>
  <cp:lastPrinted>2019-04-04T11:34:00Z</cp:lastPrinted>
  <dcterms:created xsi:type="dcterms:W3CDTF">2020-04-06T12:50:00Z</dcterms:created>
  <dcterms:modified xsi:type="dcterms:W3CDTF">2020-04-06T12:50:00Z</dcterms:modified>
</cp:coreProperties>
</file>